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70" w:rsidRDefault="009C4070" w:rsidP="00B2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Карта входящей диагностики</w:t>
      </w:r>
    </w:p>
    <w:p w:rsidR="00B21A5B" w:rsidRDefault="00B21A5B" w:rsidP="00B21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Название объединения</w:t>
      </w:r>
      <w:r w:rsidR="00217550">
        <w:rPr>
          <w:rFonts w:ascii="Times New Roman" w:hAnsi="Times New Roman" w:cs="Times New Roman"/>
          <w:sz w:val="28"/>
          <w:szCs w:val="28"/>
        </w:rPr>
        <w:t xml:space="preserve"> ансамбль песни и танца «</w:t>
      </w:r>
      <w:proofErr w:type="spellStart"/>
      <w:r w:rsidR="00217550">
        <w:rPr>
          <w:rFonts w:ascii="Times New Roman" w:hAnsi="Times New Roman" w:cs="Times New Roman"/>
          <w:sz w:val="28"/>
          <w:szCs w:val="28"/>
        </w:rPr>
        <w:t>Славница</w:t>
      </w:r>
      <w:proofErr w:type="spellEnd"/>
      <w:r w:rsidR="00217550">
        <w:rPr>
          <w:rFonts w:ascii="Times New Roman" w:hAnsi="Times New Roman" w:cs="Times New Roman"/>
          <w:sz w:val="28"/>
          <w:szCs w:val="28"/>
        </w:rPr>
        <w:t xml:space="preserve">» </w:t>
      </w:r>
      <w:r w:rsidR="00217550" w:rsidRPr="005D167D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9C4070" w:rsidRDefault="009C4070" w:rsidP="009C4070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Ф.И.О. педагога</w:t>
      </w:r>
      <w:r w:rsidR="00217550">
        <w:rPr>
          <w:rFonts w:ascii="Times New Roman" w:hAnsi="Times New Roman" w:cs="Times New Roman"/>
          <w:b/>
          <w:sz w:val="28"/>
          <w:szCs w:val="28"/>
        </w:rPr>
        <w:t xml:space="preserve"> Осинцева Анна Витальевна</w:t>
      </w:r>
    </w:p>
    <w:p w:rsidR="00B21A5B" w:rsidRDefault="00B21A5B" w:rsidP="009C40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070" w:rsidRDefault="00217550" w:rsidP="00217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 ДООП «Основы вокально-хорового исполнительства (ансамбль)», базовый уровень</w:t>
      </w:r>
      <w:r w:rsidR="00B21A5B">
        <w:rPr>
          <w:rFonts w:ascii="Times New Roman" w:hAnsi="Times New Roman" w:cs="Times New Roman"/>
          <w:b/>
          <w:sz w:val="28"/>
          <w:szCs w:val="28"/>
        </w:rPr>
        <w:t xml:space="preserve"> (1 год обучения)</w:t>
      </w:r>
    </w:p>
    <w:p w:rsidR="00B21A5B" w:rsidRDefault="00B21A5B" w:rsidP="00217550">
      <w:pPr>
        <w:rPr>
          <w:rFonts w:ascii="Times New Roman" w:hAnsi="Times New Roman" w:cs="Times New Roman"/>
          <w:b/>
          <w:sz w:val="28"/>
          <w:szCs w:val="28"/>
        </w:rPr>
      </w:pPr>
    </w:p>
    <w:p w:rsidR="009C4070" w:rsidRDefault="009C4070" w:rsidP="009C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диагностики:  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  <w:proofErr w:type="gramEnd"/>
    </w:p>
    <w:p w:rsidR="00217550" w:rsidRDefault="00217550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диагностика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обучения по новой программе. Обучающиеся прошли программу стартового уровня</w:t>
      </w:r>
      <w:r w:rsidR="00F35D7C">
        <w:rPr>
          <w:rFonts w:ascii="Times New Roman" w:hAnsi="Times New Roman" w:cs="Times New Roman"/>
          <w:sz w:val="28"/>
          <w:szCs w:val="28"/>
        </w:rPr>
        <w:t xml:space="preserve"> «Основы начального ансамблевого пения», и по результатам освоения данной программы проводим диагностику.</w:t>
      </w:r>
    </w:p>
    <w:p w:rsidR="00F35D7C" w:rsidRDefault="00F35D7C" w:rsidP="00F3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7C" w:rsidRPr="00F35D7C" w:rsidRDefault="00F35D7C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 w:rsidRPr="00F35D7C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выполнения: </w:t>
      </w:r>
      <w:r>
        <w:rPr>
          <w:rFonts w:ascii="Times New Roman" w:hAnsi="Times New Roman" w:cs="Times New Roman"/>
          <w:sz w:val="28"/>
          <w:szCs w:val="28"/>
        </w:rPr>
        <w:t>учащимся предлагается спеть песню под фонограмму, которую учили в предыдущем учебном году в ансамбле. Каждый учащийся поет индивидуально в фонограмму минус и микрофон.</w:t>
      </w:r>
    </w:p>
    <w:p w:rsidR="009C4070" w:rsidRDefault="009C4070" w:rsidP="009C4070">
      <w:pPr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F35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Критерии и система оценки:</w:t>
      </w:r>
    </w:p>
    <w:p w:rsidR="00F35D7C" w:rsidRDefault="009C4070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со</w:t>
      </w:r>
      <w:r w:rsidR="00F35D7C">
        <w:rPr>
          <w:rFonts w:ascii="Times New Roman" w:hAnsi="Times New Roman" w:cs="Times New Roman"/>
          <w:sz w:val="28"/>
          <w:szCs w:val="28"/>
        </w:rPr>
        <w:t>ответствующие</w:t>
      </w:r>
      <w:proofErr w:type="gramEnd"/>
      <w:r w:rsidR="00F35D7C">
        <w:rPr>
          <w:rFonts w:ascii="Times New Roman" w:hAnsi="Times New Roman" w:cs="Times New Roman"/>
          <w:sz w:val="28"/>
          <w:szCs w:val="28"/>
        </w:rPr>
        <w:t xml:space="preserve"> уровню подготовки </w:t>
      </w:r>
    </w:p>
    <w:p w:rsidR="009C4070" w:rsidRDefault="00F35D7C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(чистая интонация, внятное, чистое произношение текста, соблюдение мелодии, ритмического рисунка, динамические оттенки, передача музыкального образа</w:t>
      </w:r>
      <w:r w:rsidR="00555A36">
        <w:rPr>
          <w:rFonts w:ascii="Times New Roman" w:hAnsi="Times New Roman" w:cs="Times New Roman"/>
          <w:sz w:val="28"/>
          <w:szCs w:val="28"/>
        </w:rPr>
        <w:t>);</w:t>
      </w:r>
    </w:p>
    <w:p w:rsidR="009C4070" w:rsidRDefault="009C4070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затруднении в выполнении заданий, уровень определяется как низкий;</w:t>
      </w:r>
    </w:p>
    <w:p w:rsidR="00555A36" w:rsidRDefault="00555A36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задание выполнено частично, уровень определяется как средний;</w:t>
      </w:r>
    </w:p>
    <w:p w:rsidR="009C4070" w:rsidRDefault="009C4070" w:rsidP="00F35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и правильно выполненное задание, говорит о высоком уровне подготовки.</w:t>
      </w:r>
    </w:p>
    <w:p w:rsidR="00217550" w:rsidRDefault="00217550" w:rsidP="00F3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rPr>
          <w:rFonts w:ascii="Times New Roman" w:hAnsi="Times New Roman" w:cs="Times New Roman"/>
          <w:b/>
          <w:sz w:val="28"/>
          <w:szCs w:val="28"/>
        </w:rPr>
      </w:pPr>
      <w:r w:rsidRPr="004A0AC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4A0AC7">
        <w:rPr>
          <w:rFonts w:ascii="Times New Roman" w:hAnsi="Times New Roman" w:cs="Times New Roman"/>
          <w:b/>
          <w:sz w:val="28"/>
          <w:szCs w:val="28"/>
        </w:rPr>
        <w:t>заполнения:</w:t>
      </w:r>
      <w:r w:rsidR="00555A3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55A36">
        <w:rPr>
          <w:rFonts w:ascii="Times New Roman" w:hAnsi="Times New Roman" w:cs="Times New Roman"/>
          <w:b/>
          <w:sz w:val="28"/>
          <w:szCs w:val="28"/>
        </w:rPr>
        <w:t xml:space="preserve">        сентябрь 2019 года</w:t>
      </w:r>
    </w:p>
    <w:p w:rsidR="00555A36" w:rsidRPr="004A0AC7" w:rsidRDefault="00555A36" w:rsidP="009C40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77"/>
        <w:gridCol w:w="1546"/>
        <w:gridCol w:w="1588"/>
        <w:gridCol w:w="1555"/>
        <w:gridCol w:w="1553"/>
      </w:tblGrid>
      <w:tr w:rsidR="009C4070" w:rsidTr="00555A36">
        <w:tc>
          <w:tcPr>
            <w:tcW w:w="426" w:type="dxa"/>
          </w:tcPr>
          <w:p w:rsidR="009C4070" w:rsidRPr="005C28AF" w:rsidRDefault="009C4070" w:rsidP="006826BB">
            <w:r>
              <w:t>№</w:t>
            </w:r>
          </w:p>
        </w:tc>
        <w:tc>
          <w:tcPr>
            <w:tcW w:w="2677" w:type="dxa"/>
          </w:tcPr>
          <w:p w:rsidR="009C4070" w:rsidRPr="005C28AF" w:rsidRDefault="009C4070" w:rsidP="006826BB">
            <w:proofErr w:type="spellStart"/>
            <w:r>
              <w:t>Ф.И.обучающегося</w:t>
            </w:r>
            <w:proofErr w:type="spellEnd"/>
          </w:p>
        </w:tc>
        <w:tc>
          <w:tcPr>
            <w:tcW w:w="4689" w:type="dxa"/>
            <w:gridSpan w:val="3"/>
          </w:tcPr>
          <w:p w:rsidR="009C4070" w:rsidRPr="00B415E6" w:rsidRDefault="009C4070" w:rsidP="006826BB">
            <w:pPr>
              <w:jc w:val="center"/>
            </w:pPr>
            <w:r w:rsidRPr="00B415E6">
              <w:t>Параметры оценки</w:t>
            </w:r>
          </w:p>
        </w:tc>
        <w:tc>
          <w:tcPr>
            <w:tcW w:w="1553" w:type="dxa"/>
          </w:tcPr>
          <w:p w:rsidR="009C4070" w:rsidRDefault="009C4070" w:rsidP="006826BB">
            <w:r>
              <w:t>Уровень</w:t>
            </w:r>
          </w:p>
          <w:p w:rsidR="009C4070" w:rsidRPr="00B415E6" w:rsidRDefault="009C4070" w:rsidP="006826BB">
            <w:r>
              <w:t>подготовки</w:t>
            </w:r>
          </w:p>
        </w:tc>
      </w:tr>
      <w:tr w:rsidR="009C4070" w:rsidTr="00555A36">
        <w:tc>
          <w:tcPr>
            <w:tcW w:w="426" w:type="dxa"/>
          </w:tcPr>
          <w:p w:rsidR="009C4070" w:rsidRDefault="009C4070" w:rsidP="006826BB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9C4070" w:rsidRDefault="009C4070" w:rsidP="006826B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C4070" w:rsidRPr="00B415E6" w:rsidRDefault="009C4070" w:rsidP="0068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588" w:type="dxa"/>
          </w:tcPr>
          <w:p w:rsidR="009C4070" w:rsidRPr="00B415E6" w:rsidRDefault="009C4070" w:rsidP="0068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</w:t>
            </w:r>
          </w:p>
        </w:tc>
        <w:tc>
          <w:tcPr>
            <w:tcW w:w="1555" w:type="dxa"/>
          </w:tcPr>
          <w:p w:rsidR="009C4070" w:rsidRDefault="009C4070" w:rsidP="006826BB">
            <w:r>
              <w:t>Музыкальная</w:t>
            </w:r>
          </w:p>
          <w:p w:rsidR="009C4070" w:rsidRPr="00B415E6" w:rsidRDefault="009C4070" w:rsidP="006826BB">
            <w:r>
              <w:t>память</w:t>
            </w:r>
          </w:p>
        </w:tc>
        <w:tc>
          <w:tcPr>
            <w:tcW w:w="1553" w:type="dxa"/>
          </w:tcPr>
          <w:p w:rsidR="009C4070" w:rsidRDefault="009C4070" w:rsidP="006826BB">
            <w:pPr>
              <w:rPr>
                <w:sz w:val="28"/>
                <w:szCs w:val="28"/>
              </w:rPr>
            </w:pPr>
          </w:p>
        </w:tc>
      </w:tr>
      <w:tr w:rsidR="009C4070" w:rsidTr="00555A36">
        <w:tc>
          <w:tcPr>
            <w:tcW w:w="426" w:type="dxa"/>
          </w:tcPr>
          <w:p w:rsidR="009C4070" w:rsidRPr="00B415E6" w:rsidRDefault="009C4070" w:rsidP="006826BB">
            <w:r>
              <w:t>1</w:t>
            </w:r>
          </w:p>
        </w:tc>
        <w:tc>
          <w:tcPr>
            <w:tcW w:w="2677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546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9C4070" w:rsidTr="00555A36">
        <w:tc>
          <w:tcPr>
            <w:tcW w:w="426" w:type="dxa"/>
          </w:tcPr>
          <w:p w:rsidR="009C4070" w:rsidRPr="00B415E6" w:rsidRDefault="009C4070" w:rsidP="006826BB">
            <w:r>
              <w:t>2</w:t>
            </w:r>
          </w:p>
        </w:tc>
        <w:tc>
          <w:tcPr>
            <w:tcW w:w="2677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46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5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9C4070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3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 Софья</w:t>
            </w:r>
          </w:p>
        </w:tc>
        <w:tc>
          <w:tcPr>
            <w:tcW w:w="1546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4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Даналина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46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5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546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6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546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5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7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46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8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46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9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46" w:type="dxa"/>
          </w:tcPr>
          <w:p w:rsidR="00555A36" w:rsidRPr="00B21A5B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Pr="00B21A5B" w:rsidRDefault="00B21A5B" w:rsidP="006826BB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553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lastRenderedPageBreak/>
              <w:t>10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546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5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11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546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5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555A36" w:rsidTr="00555A36">
        <w:tc>
          <w:tcPr>
            <w:tcW w:w="426" w:type="dxa"/>
          </w:tcPr>
          <w:p w:rsidR="00555A36" w:rsidRPr="00B415E6" w:rsidRDefault="00555A36" w:rsidP="006826BB">
            <w:r>
              <w:t>12</w:t>
            </w:r>
          </w:p>
        </w:tc>
        <w:tc>
          <w:tcPr>
            <w:tcW w:w="2677" w:type="dxa"/>
          </w:tcPr>
          <w:p w:rsidR="00555A36" w:rsidRDefault="00555A36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546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88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3" w:type="dxa"/>
          </w:tcPr>
          <w:p w:rsidR="00555A36" w:rsidRDefault="00B21A5B" w:rsidP="0068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</w:tbl>
    <w:p w:rsidR="009C4070" w:rsidRDefault="009C4070" w:rsidP="009C4070">
      <w:pPr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rPr>
          <w:rFonts w:ascii="Times New Roman" w:hAnsi="Times New Roman" w:cs="Times New Roman"/>
          <w:b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Анализ уровня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4070" w:rsidRDefault="009C4070" w:rsidP="00B2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входящая диагностика показала, что большинство ребят</w:t>
      </w:r>
      <w:r w:rsidR="00B21A5B">
        <w:rPr>
          <w:rFonts w:ascii="Times New Roman" w:hAnsi="Times New Roman" w:cs="Times New Roman"/>
          <w:sz w:val="28"/>
          <w:szCs w:val="28"/>
        </w:rPr>
        <w:t xml:space="preserve"> по окончании программы стартового уровня имеют высокий и средний уровень </w:t>
      </w:r>
      <w:proofErr w:type="gramStart"/>
      <w:r w:rsidR="00B21A5B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="00B21A5B">
        <w:rPr>
          <w:rFonts w:ascii="Times New Roman" w:hAnsi="Times New Roman" w:cs="Times New Roman"/>
          <w:sz w:val="28"/>
          <w:szCs w:val="28"/>
        </w:rPr>
        <w:t xml:space="preserve">9 из 12); 3 человека имеют низкий уровень подготовки, потому что данные учащиеся пришли на стартовый уровень с большими нарушениями ритма, слуха. Поскольку на стартовый уровень берутся все дети без </w:t>
      </w:r>
      <w:proofErr w:type="gramStart"/>
      <w:r w:rsidR="00B21A5B">
        <w:rPr>
          <w:rFonts w:ascii="Times New Roman" w:hAnsi="Times New Roman" w:cs="Times New Roman"/>
          <w:sz w:val="28"/>
          <w:szCs w:val="28"/>
        </w:rPr>
        <w:t>какого либо</w:t>
      </w:r>
      <w:proofErr w:type="gramEnd"/>
      <w:r w:rsidR="00B21A5B">
        <w:rPr>
          <w:rFonts w:ascii="Times New Roman" w:hAnsi="Times New Roman" w:cs="Times New Roman"/>
          <w:sz w:val="28"/>
          <w:szCs w:val="28"/>
        </w:rPr>
        <w:t xml:space="preserve"> отбора, то данные учащиеся (понятие </w:t>
      </w:r>
      <w:proofErr w:type="spellStart"/>
      <w:r w:rsidR="00B21A5B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="00B21A5B">
        <w:rPr>
          <w:rFonts w:ascii="Times New Roman" w:hAnsi="Times New Roman" w:cs="Times New Roman"/>
          <w:sz w:val="28"/>
          <w:szCs w:val="28"/>
        </w:rPr>
        <w:t xml:space="preserve">) пришили для своего развития. Ритмические нарушения за два года обучения мы </w:t>
      </w:r>
      <w:proofErr w:type="spellStart"/>
      <w:r w:rsidR="00B21A5B">
        <w:rPr>
          <w:rFonts w:ascii="Times New Roman" w:hAnsi="Times New Roman" w:cs="Times New Roman"/>
          <w:sz w:val="28"/>
          <w:szCs w:val="28"/>
        </w:rPr>
        <w:t>коррегировали</w:t>
      </w:r>
      <w:proofErr w:type="spellEnd"/>
      <w:r w:rsidR="00B21A5B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B21A5B">
        <w:rPr>
          <w:rFonts w:ascii="Times New Roman" w:hAnsi="Times New Roman" w:cs="Times New Roman"/>
          <w:sz w:val="28"/>
          <w:szCs w:val="28"/>
        </w:rPr>
        <w:t>к сожаления</w:t>
      </w:r>
      <w:proofErr w:type="gramEnd"/>
      <w:r w:rsidR="00B21A5B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B21A5B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B21A5B">
        <w:rPr>
          <w:rFonts w:ascii="Times New Roman" w:hAnsi="Times New Roman" w:cs="Times New Roman"/>
          <w:sz w:val="28"/>
          <w:szCs w:val="28"/>
        </w:rPr>
        <w:t xml:space="preserve"> интонационные нарушения у данных учащихся необходимо более продолжительное время, и индивидуальные занятия по устранению пробелов.</w:t>
      </w:r>
    </w:p>
    <w:p w:rsidR="009C4070" w:rsidRPr="00BD2DC6" w:rsidRDefault="009C4070" w:rsidP="00B2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целесообразным уделить </w:t>
      </w:r>
      <w:r w:rsidR="00B21A5B">
        <w:rPr>
          <w:rFonts w:ascii="Times New Roman" w:hAnsi="Times New Roman" w:cs="Times New Roman"/>
          <w:sz w:val="28"/>
          <w:szCs w:val="28"/>
        </w:rPr>
        <w:t>особое внимание правильному интонированию всех обучающихся в группе</w:t>
      </w:r>
      <w:r>
        <w:rPr>
          <w:rFonts w:ascii="Times New Roman" w:hAnsi="Times New Roman" w:cs="Times New Roman"/>
          <w:sz w:val="28"/>
          <w:szCs w:val="28"/>
        </w:rPr>
        <w:t>, вплоть до увеличения</w:t>
      </w:r>
      <w:r w:rsidR="00B21A5B">
        <w:rPr>
          <w:rFonts w:ascii="Times New Roman" w:hAnsi="Times New Roman" w:cs="Times New Roman"/>
          <w:sz w:val="28"/>
          <w:szCs w:val="28"/>
        </w:rPr>
        <w:t xml:space="preserve"> объема часов, (за счет индивидуальных занятий по устранению пробелов)</w:t>
      </w:r>
    </w:p>
    <w:p w:rsidR="009C4070" w:rsidRDefault="009C4070" w:rsidP="00B21A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70" w:rsidRDefault="009C4070" w:rsidP="009C4070"/>
    <w:p w:rsidR="004A38A1" w:rsidRDefault="004A38A1"/>
    <w:sectPr w:rsidR="004A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F7"/>
    <w:rsid w:val="00217550"/>
    <w:rsid w:val="002276F7"/>
    <w:rsid w:val="004A38A1"/>
    <w:rsid w:val="00555A36"/>
    <w:rsid w:val="005D167D"/>
    <w:rsid w:val="009C4070"/>
    <w:rsid w:val="00B21A5B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6336-659B-463A-82E8-C3609A4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2022-03-17T01:25:00Z</dcterms:created>
  <dcterms:modified xsi:type="dcterms:W3CDTF">2022-03-17T02:01:00Z</dcterms:modified>
</cp:coreProperties>
</file>