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A5" w:rsidRDefault="006C64A5" w:rsidP="006C64A5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6C64A5" w:rsidRDefault="006C64A5" w:rsidP="006C64A5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64A5" w:rsidRDefault="006C64A5" w:rsidP="006C64A5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64A5" w:rsidRPr="000C7DCA" w:rsidRDefault="006C64A5" w:rsidP="006C64A5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427F" w:rsidRPr="00C5427F" w:rsidRDefault="009E0F75" w:rsidP="00C5427F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Pr="00C5427F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 педагогических работников</w:t>
      </w:r>
    </w:p>
    <w:p w:rsidR="00C5427F" w:rsidRPr="00C5427F" w:rsidRDefault="009E0F75" w:rsidP="00C5427F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7F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9E0F75" w:rsidRPr="00C5427F" w:rsidRDefault="009E0F75" w:rsidP="00C5427F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27F">
        <w:rPr>
          <w:rFonts w:ascii="Times New Roman" w:hAnsi="Times New Roman" w:cs="Times New Roman"/>
          <w:b/>
          <w:sz w:val="24"/>
          <w:szCs w:val="24"/>
        </w:rPr>
        <w:t xml:space="preserve">по должности «старший воспитатель», «методист (включая </w:t>
      </w:r>
      <w:proofErr w:type="gramStart"/>
      <w:r w:rsidRPr="00C5427F">
        <w:rPr>
          <w:rFonts w:ascii="Times New Roman" w:hAnsi="Times New Roman" w:cs="Times New Roman"/>
          <w:b/>
          <w:sz w:val="24"/>
          <w:szCs w:val="24"/>
        </w:rPr>
        <w:t>старшего</w:t>
      </w:r>
      <w:proofErr w:type="gramEnd"/>
      <w:r w:rsidRPr="00C5427F">
        <w:rPr>
          <w:rFonts w:ascii="Times New Roman" w:hAnsi="Times New Roman" w:cs="Times New Roman"/>
          <w:b/>
          <w:sz w:val="24"/>
          <w:szCs w:val="24"/>
        </w:rPr>
        <w:t>)</w:t>
      </w:r>
      <w:r w:rsidR="005B1EE8" w:rsidRPr="00C5427F">
        <w:rPr>
          <w:rFonts w:ascii="Times New Roman" w:hAnsi="Times New Roman" w:cs="Times New Roman"/>
          <w:b/>
          <w:sz w:val="24"/>
          <w:szCs w:val="24"/>
        </w:rPr>
        <w:t>»</w:t>
      </w:r>
    </w:p>
    <w:p w:rsidR="00C5427F" w:rsidRPr="00C5427F" w:rsidRDefault="009E0F75" w:rsidP="00C5427F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5427F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C5427F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9E0F75" w:rsidRPr="008818AF" w:rsidRDefault="009E0F75" w:rsidP="00C5427F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427F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муниципальных и</w:t>
      </w: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частных организаций</w:t>
      </w:r>
      <w:r w:rsidRPr="008818AF">
        <w:rPr>
          <w:rFonts w:ascii="Times New Roman" w:hAnsi="Times New Roman" w:cs="Times New Roman"/>
          <w:i/>
          <w:sz w:val="24"/>
          <w:szCs w:val="24"/>
        </w:rPr>
        <w:t>)</w:t>
      </w:r>
    </w:p>
    <w:p w:rsidR="009E0F75" w:rsidRPr="008818AF" w:rsidRDefault="009E0F75" w:rsidP="00C5427F">
      <w:pPr>
        <w:spacing w:before="60" w:after="6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0F75" w:rsidRPr="008818AF" w:rsidRDefault="009E0F75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8818AF">
        <w:rPr>
          <w:rFonts w:ascii="Times New Roman" w:hAnsi="Times New Roman" w:cs="Times New Roman"/>
          <w:sz w:val="24"/>
          <w:szCs w:val="24"/>
        </w:rPr>
        <w:t>н</w:t>
      </w:r>
      <w:r w:rsidRPr="008818AF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8818AF">
        <w:rPr>
          <w:rFonts w:ascii="Times New Roman" w:hAnsi="Times New Roman" w:cs="Times New Roman"/>
          <w:sz w:val="24"/>
          <w:szCs w:val="24"/>
        </w:rPr>
        <w:t>й</w:t>
      </w:r>
      <w:r w:rsidRPr="008818AF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8818AF">
        <w:rPr>
          <w:rFonts w:ascii="Times New Roman" w:hAnsi="Times New Roman" w:cs="Times New Roman"/>
          <w:sz w:val="24"/>
          <w:szCs w:val="24"/>
        </w:rPr>
        <w:t>о</w:t>
      </w:r>
      <w:r w:rsidRPr="008818AF">
        <w:rPr>
          <w:rFonts w:ascii="Times New Roman" w:hAnsi="Times New Roman" w:cs="Times New Roman"/>
          <w:sz w:val="24"/>
          <w:szCs w:val="24"/>
        </w:rPr>
        <w:t xml:space="preserve">стижений педагогического работника. </w:t>
      </w:r>
    </w:p>
    <w:p w:rsidR="009E0F75" w:rsidRPr="008818AF" w:rsidRDefault="009E0F75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 xml:space="preserve">Необходимым минимумом при формировании Портфолио является представление профессиональных достижений по критериям 1, 2, 3, 4, 5.Показатели, обозначенные символом </w:t>
      </w:r>
      <w:r w:rsidRPr="008818AF">
        <w:rPr>
          <w:rFonts w:ascii="Times New Roman" w:hAnsi="Times New Roman" w:cs="Times New Roman"/>
          <w:sz w:val="24"/>
          <w:szCs w:val="24"/>
        </w:rPr>
        <w:sym w:font="Symbol" w:char="F02A"/>
      </w:r>
      <w:r w:rsidRPr="008818AF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9E0F75" w:rsidRPr="008818AF" w:rsidRDefault="009E0F75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Критерий 6 является дополнительными для аттестующихся на первую и высшую квалификационные категории, то есть педагогический р</w:t>
      </w:r>
      <w:r w:rsidRPr="008818AF">
        <w:rPr>
          <w:rFonts w:ascii="Times New Roman" w:hAnsi="Times New Roman" w:cs="Times New Roman"/>
          <w:sz w:val="24"/>
          <w:szCs w:val="24"/>
        </w:rPr>
        <w:t>а</w:t>
      </w:r>
      <w:r w:rsidRPr="008818AF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9E0F75" w:rsidRDefault="009E0F75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8818AF">
        <w:rPr>
          <w:rFonts w:ascii="Times New Roman" w:hAnsi="Times New Roman" w:cs="Times New Roman"/>
          <w:sz w:val="24"/>
          <w:szCs w:val="24"/>
        </w:rPr>
        <w:t>и</w:t>
      </w:r>
      <w:r w:rsidRPr="008818AF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8818AF">
        <w:rPr>
          <w:rFonts w:ascii="Times New Roman" w:hAnsi="Times New Roman" w:cs="Times New Roman"/>
          <w:sz w:val="24"/>
          <w:szCs w:val="24"/>
        </w:rPr>
        <w:t>в</w:t>
      </w:r>
      <w:r w:rsidRPr="008818AF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FE3096" w:rsidRDefault="00FE3096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FE3096" w:rsidRPr="00C5427F" w:rsidRDefault="00FE3096" w:rsidP="00C5427F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427F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FE3096" w:rsidRPr="00C5427F" w:rsidRDefault="00FE3096" w:rsidP="00C5427F">
      <w:pPr>
        <w:pStyle w:val="a3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427F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FE3096" w:rsidRDefault="00FE3096" w:rsidP="00C5427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113. </w:t>
      </w:r>
    </w:p>
    <w:p w:rsidR="009E0F75" w:rsidRPr="00DB0936" w:rsidRDefault="009E0F75" w:rsidP="00D452EA">
      <w:pPr>
        <w:spacing w:before="60" w:after="60" w:line="200" w:lineRule="exact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C5427F" w:rsidRDefault="00C5427F">
      <w:r>
        <w:br w:type="page"/>
      </w:r>
    </w:p>
    <w:p w:rsidR="00C5427F" w:rsidRPr="00C5427F" w:rsidRDefault="00C5427F" w:rsidP="00C5427F">
      <w:pPr>
        <w:spacing w:after="0" w:line="240" w:lineRule="auto"/>
        <w:rPr>
          <w:sz w:val="2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8844"/>
        <w:gridCol w:w="1134"/>
        <w:gridCol w:w="1814"/>
        <w:gridCol w:w="2948"/>
      </w:tblGrid>
      <w:tr w:rsidR="00E67DE5" w:rsidRPr="00640207" w:rsidTr="00E67DE5">
        <w:trPr>
          <w:trHeight w:val="116"/>
          <w:tblHeader/>
          <w:jc w:val="center"/>
        </w:trPr>
        <w:tc>
          <w:tcPr>
            <w:tcW w:w="703" w:type="dxa"/>
            <w:tcMar>
              <w:top w:w="0" w:type="dxa"/>
              <w:bottom w:w="0" w:type="dxa"/>
            </w:tcMar>
            <w:vAlign w:val="center"/>
          </w:tcPr>
          <w:p w:rsidR="00E67DE5" w:rsidRPr="00E67DE5" w:rsidRDefault="00E67DE5" w:rsidP="001137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7D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844" w:type="dxa"/>
            <w:tcMar>
              <w:top w:w="0" w:type="dxa"/>
              <w:bottom w:w="0" w:type="dxa"/>
            </w:tcMar>
            <w:vAlign w:val="center"/>
          </w:tcPr>
          <w:p w:rsidR="00E67DE5" w:rsidRPr="00E67DE5" w:rsidRDefault="00E67DE5" w:rsidP="001137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7DE5">
              <w:rPr>
                <w:rFonts w:ascii="Times New Roman" w:hAnsi="Times New Roman" w:cs="Times New Roman"/>
              </w:rPr>
              <w:t>Критерии и показатели оценки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67DE5" w:rsidRPr="00E67DE5" w:rsidRDefault="00E67DE5" w:rsidP="001137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7DE5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  <w:vAlign w:val="center"/>
          </w:tcPr>
          <w:p w:rsidR="00E67DE5" w:rsidRPr="00E67DE5" w:rsidRDefault="00E67DE5" w:rsidP="001137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7DE5">
              <w:rPr>
                <w:rFonts w:ascii="Times New Roman" w:hAnsi="Times New Roman" w:cs="Times New Roman"/>
              </w:rPr>
              <w:t>Способ вывед</w:t>
            </w:r>
            <w:r w:rsidRPr="00E67DE5">
              <w:rPr>
                <w:rFonts w:ascii="Times New Roman" w:hAnsi="Times New Roman" w:cs="Times New Roman"/>
              </w:rPr>
              <w:t>е</w:t>
            </w:r>
            <w:r w:rsidRPr="00E67DE5">
              <w:rPr>
                <w:rFonts w:ascii="Times New Roman" w:hAnsi="Times New Roman" w:cs="Times New Roman"/>
              </w:rPr>
              <w:t>ния оценки</w:t>
            </w:r>
          </w:p>
        </w:tc>
        <w:tc>
          <w:tcPr>
            <w:tcW w:w="2948" w:type="dxa"/>
            <w:tcMar>
              <w:top w:w="0" w:type="dxa"/>
              <w:bottom w:w="0" w:type="dxa"/>
            </w:tcMar>
            <w:vAlign w:val="center"/>
          </w:tcPr>
          <w:p w:rsidR="00E67DE5" w:rsidRPr="00E67DE5" w:rsidRDefault="00E67DE5" w:rsidP="0011372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E67DE5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</w:tbl>
    <w:p w:rsidR="006670F3" w:rsidRPr="006670F3" w:rsidRDefault="006670F3" w:rsidP="006670F3">
      <w:pPr>
        <w:spacing w:after="0" w:line="240" w:lineRule="auto"/>
        <w:rPr>
          <w:sz w:val="2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8844"/>
        <w:gridCol w:w="1134"/>
        <w:gridCol w:w="1814"/>
        <w:gridCol w:w="2948"/>
      </w:tblGrid>
      <w:tr w:rsidR="00E31862" w:rsidRPr="00640207" w:rsidTr="006670F3">
        <w:trPr>
          <w:trHeight w:val="116"/>
          <w:tblHeader/>
          <w:jc w:val="center"/>
        </w:trPr>
        <w:tc>
          <w:tcPr>
            <w:tcW w:w="703" w:type="dxa"/>
            <w:tcMar>
              <w:top w:w="0" w:type="dxa"/>
              <w:bottom w:w="0" w:type="dxa"/>
            </w:tcMar>
          </w:tcPr>
          <w:p w:rsidR="00E31862" w:rsidRPr="00640207" w:rsidRDefault="00E31862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>1</w:t>
            </w:r>
          </w:p>
        </w:tc>
        <w:tc>
          <w:tcPr>
            <w:tcW w:w="8844" w:type="dxa"/>
            <w:tcMar>
              <w:top w:w="0" w:type="dxa"/>
              <w:bottom w:w="0" w:type="dxa"/>
            </w:tcMar>
          </w:tcPr>
          <w:p w:rsidR="00E31862" w:rsidRPr="00640207" w:rsidRDefault="00E31862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31862" w:rsidRPr="00640207" w:rsidRDefault="00E31862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 xml:space="preserve">3 </w:t>
            </w:r>
          </w:p>
        </w:tc>
        <w:tc>
          <w:tcPr>
            <w:tcW w:w="1814" w:type="dxa"/>
            <w:tcMar>
              <w:top w:w="0" w:type="dxa"/>
              <w:bottom w:w="0" w:type="dxa"/>
            </w:tcMar>
          </w:tcPr>
          <w:p w:rsidR="00E31862" w:rsidRPr="00640207" w:rsidRDefault="00E31862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>4</w:t>
            </w:r>
          </w:p>
        </w:tc>
        <w:tc>
          <w:tcPr>
            <w:tcW w:w="2948" w:type="dxa"/>
            <w:tcMar>
              <w:top w:w="0" w:type="dxa"/>
              <w:bottom w:w="0" w:type="dxa"/>
            </w:tcMar>
          </w:tcPr>
          <w:p w:rsidR="00E31862" w:rsidRPr="00640207" w:rsidRDefault="00E31862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16"/>
                <w:szCs w:val="24"/>
              </w:rPr>
              <w:t>5</w:t>
            </w: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1 «Результаты 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профессиональной деятельности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педагогического работника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итогам мониторингов, проводимых орг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низацией» </w:t>
            </w:r>
          </w:p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–32</w:t>
            </w: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«Научно-методическое обеспечение образовательной деятельности образовательной организации</w:t>
            </w:r>
            <w:proofErr w:type="gramStart"/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труктурного по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разделения, учебного предмета или направления деятельности)»</w:t>
            </w:r>
          </w:p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Участвует в разработке содержания соответствующего раздела образовательной программы/программы развития образовательной организации: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113723" w:rsidRDefault="00113723" w:rsidP="00515624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23" w:rsidRPr="00640207" w:rsidRDefault="00113723" w:rsidP="00515624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113723" w:rsidRPr="00640207" w:rsidRDefault="00113723" w:rsidP="00515624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раздел (подпрограмма) по методической работе 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мы/программы развития образовательной орган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зации; </w:t>
            </w:r>
          </w:p>
          <w:p w:rsidR="00113723" w:rsidRPr="00640207" w:rsidRDefault="00113723" w:rsidP="00515624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планы и анализ методич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ской работы за 2-3 года</w:t>
            </w: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не раскрыт 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содержание соответствующего раздела образовательной программы/программы развития образовательной организации отвечает современным целям и задачам м</w:t>
            </w: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тодической работы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соответствующий раздел образовательной программы/программы развития обр</w:t>
            </w: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зовательной организации разработан с учетом целей и задач образовательной орг</w:t>
            </w: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низации, потребностей и запросов педагогических кадров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Планирует и организует методическую работу: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2BA">
              <w:rPr>
                <w:rFonts w:ascii="Times New Roman" w:hAnsi="Times New Roman"/>
                <w:sz w:val="24"/>
                <w:szCs w:val="24"/>
                <w:highlight w:val="yellow"/>
              </w:rPr>
              <w:t>- обоснованно и в системе, используя разнообразные, в том числе инновационные формы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113723" w:rsidRPr="00E67DE5" w:rsidRDefault="0011372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13723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113723" w:rsidRPr="00640207" w:rsidRDefault="00113723" w:rsidP="00515624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«Создание условий для профессионального роста педагогических кадров»</w:t>
            </w:r>
          </w:p>
          <w:p w:rsidR="00113723" w:rsidRPr="00640207" w:rsidRDefault="00113723" w:rsidP="00515624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–24</w:t>
            </w: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1.2.1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Планирует и обеспечивает повышение квалификации педагогических кадров: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видеозапись, конспекты, сценарии методических мероприятий;</w:t>
            </w: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планы и анализ методич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работы за 2-3 года; </w:t>
            </w: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планы корпоративного обучения;</w:t>
            </w: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планы (программы, ка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ты) профессионального роста педагогических кадров;</w:t>
            </w:r>
          </w:p>
          <w:p w:rsidR="00762333" w:rsidRPr="00762333" w:rsidRDefault="00762333" w:rsidP="007623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333">
              <w:rPr>
                <w:rFonts w:ascii="Times New Roman" w:hAnsi="Times New Roman" w:cs="Times New Roman"/>
                <w:sz w:val="24"/>
                <w:szCs w:val="24"/>
              </w:rPr>
              <w:t>отзывы коллег</w:t>
            </w:r>
          </w:p>
          <w:p w:rsidR="00515624" w:rsidRPr="00762333" w:rsidRDefault="00515624" w:rsidP="00762333">
            <w:pPr>
              <w:pStyle w:val="a3"/>
              <w:spacing w:after="0" w:line="240" w:lineRule="exac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обеспечивает своевременное повышение квалификации педагогических кадров по предмету (профилю, направлению деятельности)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7522BA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доля </w:t>
            </w:r>
            <w:r w:rsidRPr="007522BA">
              <w:rPr>
                <w:rFonts w:ascii="Times New Roman" w:hAnsi="Times New Roman"/>
                <w:sz w:val="24"/>
                <w:szCs w:val="24"/>
                <w:highlight w:val="yellow"/>
              </w:rPr>
              <w:t>педагогических кадров</w:t>
            </w:r>
            <w:r w:rsidRPr="007522BA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, </w:t>
            </w:r>
            <w:r w:rsidRPr="007522B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прошедших курсы повышения квалификации по предмету (профилю, направлению деятельности), составляет </w:t>
            </w:r>
            <w:r w:rsidRPr="007522BA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не менее 80 % </w:t>
            </w:r>
            <w:r w:rsidRPr="007522BA">
              <w:rPr>
                <w:rFonts w:ascii="Times New Roman" w:eastAsiaTheme="minorEastAsia" w:hAnsi="Times New Roman"/>
                <w:b/>
                <w:i/>
                <w:sz w:val="24"/>
                <w:szCs w:val="24"/>
                <w:highlight w:val="yellow"/>
              </w:rPr>
              <w:t>или</w:t>
            </w:r>
            <w:r w:rsidRPr="007522BA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не менее 90 %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spacing w:after="0" w:line="240" w:lineRule="exac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22BA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- мотивирует педагогов на повышение квалификации, обучение по актуальным проблемам образования, профессиональную переподготовку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Осуществляет методическое сопровождение аттестации педагогических кадров: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22BA">
              <w:rPr>
                <w:rFonts w:ascii="Times New Roman" w:hAnsi="Times New Roman"/>
                <w:sz w:val="24"/>
                <w:szCs w:val="24"/>
                <w:highlight w:val="yellow"/>
              </w:rPr>
              <w:t>информирует по вопросам нормативно-правового и методического обеспечения процесса аттестации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22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- консультирует по подготовке портфолио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создает условия для развития творческой активности, самореализации в </w:t>
            </w:r>
            <w:proofErr w:type="spellStart"/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межатт</w:t>
            </w: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стационный</w:t>
            </w:r>
            <w:proofErr w:type="spellEnd"/>
            <w:r w:rsidRPr="007522B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период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Стимулирует инновационную деятельность педагогических кадров: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2BA">
              <w:rPr>
                <w:rFonts w:ascii="Times New Roman" w:hAnsi="Times New Roman"/>
                <w:sz w:val="24"/>
                <w:szCs w:val="24"/>
                <w:highlight w:val="yellow"/>
              </w:rPr>
              <w:t>- создает проблемные (творческие) группы, временные научно-исследовательские коллективы и сопровождает их деятельность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2BA">
              <w:rPr>
                <w:rFonts w:ascii="Times New Roman" w:hAnsi="Times New Roman"/>
                <w:sz w:val="24"/>
                <w:szCs w:val="24"/>
                <w:highlight w:val="yellow"/>
              </w:rPr>
              <w:t>- проводит экспертизу продуктов инновационной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B54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организует и обобщает экспериментальную, инновационную деятельность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1.2.4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обобщения и распространения педагогического опыта: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последовательно реализует план методической работы по изучению и обобщению педагогического опыта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вовлекает педагогов в распространение педагогического опыта на муниципал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ь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краевом уровнях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DB545B">
              <w:rPr>
                <w:rFonts w:ascii="Times New Roman" w:hAnsi="Times New Roman"/>
                <w:sz w:val="24"/>
                <w:szCs w:val="24"/>
                <w:highlight w:val="yellow"/>
              </w:rPr>
              <w:t>способствует внесению их педагогического опыта в банки данных муниципальн</w:t>
            </w:r>
            <w:r w:rsidRPr="00DB545B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DB545B">
              <w:rPr>
                <w:rFonts w:ascii="Times New Roman" w:hAnsi="Times New Roman"/>
                <w:sz w:val="24"/>
                <w:szCs w:val="24"/>
                <w:highlight w:val="yellow"/>
              </w:rPr>
              <w:t>го</w:t>
            </w:r>
            <w:r w:rsidRPr="00DB545B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 или</w:t>
            </w:r>
            <w:r w:rsidRPr="00DB545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краевого уровней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1.2.5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Организует корпоративное обучение: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70687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обоснованно и в системе, используя разнообразные, в том числе инновационные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lastRenderedPageBreak/>
              <w:t>формы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Использует разные формы морального стимулирования и поощрения професси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нального роста педагогических кадров: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эффективно использует интеллектуальные, организаторские, творческие возмо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ж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ности педагогов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организует повышение квалификации и обучение с учетом потребностей, жел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профессиональных способностей педагогов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своевременно и объективно оценивает достижения, информирует  педагогический коллектив, общественность о заслугах педагога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1562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разрабатывает планы (программы, карты) профессионального роста педагогич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ских кадров, отражающие 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пути совершенствования профессиональных и личностных качеств,  развитие горизонтальной или вертикальной карьеры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15624" w:rsidRPr="00640207" w:rsidRDefault="00515624" w:rsidP="0051562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515624" w:rsidRPr="00E67DE5" w:rsidRDefault="0051562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57AB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657ABA" w:rsidRPr="00640207" w:rsidRDefault="00657AB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657ABA" w:rsidRPr="00640207" w:rsidRDefault="00657AB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Критерий 2 «Участие педагогических работников 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конкурсах, фестивалях, соревнованиях, выставках и других мероприятиях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если деятельность педагогических работников связана с направлениями педагогической работы, по которым такие мероприятия пров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дятся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)»</w:t>
            </w:r>
          </w:p>
          <w:p w:rsidR="00657ABA" w:rsidRPr="00640207" w:rsidRDefault="00657AB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10</w:t>
            </w:r>
          </w:p>
        </w:tc>
      </w:tr>
      <w:tr w:rsidR="00657AB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657ABA" w:rsidRPr="00640207" w:rsidRDefault="00657AB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657ABA" w:rsidRPr="00640207" w:rsidRDefault="00657AB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Показатель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педагогических работников  образовательной организации в профессиональных конкурсах,  смотрах, фестив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лях, соревнованиях, выставках и других конкурсных мероприятиях»</w:t>
            </w:r>
          </w:p>
          <w:p w:rsidR="00657ABA" w:rsidRPr="00640207" w:rsidRDefault="00657AB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10</w:t>
            </w: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Наличие призёров, победителей среди педагогических работников образовательной организации (структурных подразделений образовательной организации) в зао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ных/дистанционных конкурсах (по использованию ИКТ; инновационных, метод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ческих  разработок; публикаций; педагогических инициатив) для педагогических работников (при условии оказания методической помощи со стороны аттестуемого педагогического работника):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(при участии одного и того же педагога)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или 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 (при наличии достижений разных уро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ней в разных мероприятиях)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6670F3" w:rsidRPr="00640207" w:rsidRDefault="006670F3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F3" w:rsidRPr="00640207" w:rsidRDefault="006670F3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копии дипломов, грамот, сертификатов педагогич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организации;  </w:t>
            </w:r>
          </w:p>
          <w:p w:rsidR="006670F3" w:rsidRPr="00640207" w:rsidRDefault="006670F3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конкурсов, смотров, фестивалей, в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ставок, соревнований</w:t>
            </w: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призёры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победители муниципального уровня (не менее 3-х)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призёры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победители краевого уровня (не менее 2-х)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призёров 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среди педагогических работников образов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тельной организации (структурных подразделений образовательной организации) в очных конкурсах профессионального мастерства «Сердце отдаю детям», «Самый классный </w:t>
            </w:r>
            <w:proofErr w:type="spellStart"/>
            <w:proofErr w:type="gramStart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» (при условии оказания методической помощи со стороны 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тестуемого педагогического работника):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(при участии одного и того же педагога)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или 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 (при наличии достижений разных уро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ней в разных мероприятиях)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призёры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победители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призёры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победители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6670F3" w:rsidRPr="00E67DE5" w:rsidRDefault="006670F3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670F3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Критерий 3 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71</w:t>
            </w:r>
          </w:p>
        </w:tc>
      </w:tr>
      <w:tr w:rsidR="006670F3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«Продуктивное использование в методической работе новых образовательных технологий (в том числе обучения взро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лых),  включая информационные, а также цифровых образовательных ресурсов и средств»</w:t>
            </w:r>
          </w:p>
          <w:p w:rsidR="006670F3" w:rsidRPr="00640207" w:rsidRDefault="006670F3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14</w:t>
            </w: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Совершенствует и развивает методы,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и формы методической работы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354A16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354A16" w:rsidRPr="00640207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16" w:rsidRPr="00640207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текст доклада (информ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ционная карта) с  кратким описанием собственного опыта, основанного на совершенствовании и ра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витии известных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методов, средств и форм методич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работы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видеозапись, конспекты, сценарии методических мероприятий,  демо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стрирующие практич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ское применение аттест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емым педагогом новых образовательных технол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гий, цифровых образов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тельных ресурсов и средств, использование инновационных форм м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тодической  работы; </w:t>
            </w:r>
            <w:proofErr w:type="gramEnd"/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адреса (ссылки на страницы) или </w:t>
            </w:r>
            <w:proofErr w:type="spellStart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ScreenShot</w:t>
            </w:r>
            <w:proofErr w:type="spellEnd"/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Интернет-ресурсов, подтвержда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щие Интернет-активность аттестуемого;</w:t>
            </w:r>
            <w:proofErr w:type="gramEnd"/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диагностический  инстр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ментарий, анализ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тивности использования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 новых образовательных технологий;</w:t>
            </w:r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отзывы администрации, коллег</w:t>
            </w: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обосновывает целесообразность проводимых усовершенствований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учетом целей и задач образовательного процесса в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, условий де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тельности, потребностей педагогов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,  раскрывает их суть и результаты 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Продуктивно использует новые образовательные технологии, в том числе обучения взрослых: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 или представлено описание новых образовательных техн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логий, в том числе обучения взрослых,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боснованно с учетом целей и задач, тематики методического мероприятия 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пользует новые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образовательные технологии, в том числе обучения взрослых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владеет новыми образовательными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технологиями, в том числе обучения взро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лых, на уровне отдельных элементов,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отдельн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ых элементов разных технологий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или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уровне целостной системы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или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формирует диагностический инструментарий для оценки эффективности испол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новых образовательных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обучения взрослых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отслеживает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родуктивность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использования новых образовательных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технологий, в том числе обучения взрослых,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применением диагностического инструментария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Использует информационно-коммуникационные технологии в методической раб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спользует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в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ющие программы, цифровые образовательные ресурсы и средства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Использует новые формы методической работы: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использует инновационные формы методической работы с различными категор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ями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применяет или разрабатывает современные формы представления результатов деятельности педагогических работников, в том числе портфолио и проекты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использует сетевые формы распространения опыта инновационной педагогич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«Внедрение в образовательный процесс образовательной организации новых образовательных технологий, включая и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формационные»</w:t>
            </w:r>
            <w:proofErr w:type="gramEnd"/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7</w:t>
            </w: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Создает условия для изучения, освоения и внедрения педагогическими работник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ми новых образовательных технологий, включая информационные: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354A16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354A16" w:rsidRPr="00640207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16" w:rsidRPr="00640207" w:rsidRDefault="00354A16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планы корпоративного обучения; планы работы проблемных/ творческих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по изучению и внедрению в образов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тельный процесс новых технологий;</w:t>
            </w:r>
          </w:p>
          <w:p w:rsidR="00354A16" w:rsidRPr="00640207" w:rsidRDefault="00354A16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отзывы администрации, коллег</w:t>
            </w: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обеспечивает информирование о новых образовательных технологиях, включая </w:t>
            </w:r>
            <w:proofErr w:type="gramStart"/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организует корпоративное обучение, обучение на базе других обучающих орган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заций по вопросам новых образовательных технологий, включая </w:t>
            </w:r>
            <w:proofErr w:type="gramStart"/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организует деятельность проблемных (творческих) групп по внедрению в образ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вательный процесс новых образовательных технологий, включая </w:t>
            </w:r>
            <w:proofErr w:type="gramStart"/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354A1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доля педагогических работников (в %), внедряющих новые образовательные те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х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нологии в образовательный процесс, имеет положительную динамику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54A16" w:rsidRPr="00640207" w:rsidRDefault="00354A16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354A16" w:rsidRPr="00E67DE5" w:rsidRDefault="00354A1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«Использование современных методов учета результатов и диагностики образовательного процесса»</w:t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Максимальное количество баллов – 5</w:t>
            </w: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Проводит диагностические исследования образовательного процесса: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B2112A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B2112A" w:rsidRPr="00640207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2A" w:rsidRPr="00640207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ментарий; результаты д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агностики (выборочно)</w:t>
            </w: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обосновывает целесообразность, тематику (направленность) диагностических 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следований 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формирует пакет диагностических методик, проводит диагностические исслед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информирует заинтересованных участников образовательного процесса о резул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татах диагностики, использует результаты диагностики для планирования и ко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рекции образовательного процесса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«Участие в экспериментальной, инновационной деятельности»</w:t>
            </w:r>
            <w:r w:rsidRPr="0064020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12</w:t>
            </w: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B2112A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B2112A" w:rsidRPr="00640207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2A" w:rsidRPr="00640207" w:rsidRDefault="00B2112A" w:rsidP="00B2112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планы работы (протоколы заседаний) проблемной (творческой) группы, временного научно-исследовательского ко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л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лектива;</w:t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документы, подтвержд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ющие участие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одной из форм инновационного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поиска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и результати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в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ность этой деятельности</w:t>
            </w: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, прошедшего конкурс на пр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своение  статуса «научно-исследовательская лаборатория», «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щадка», «инновационная площадка», «центр трансфера технологий», «центр ко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петенций», «инновационный комплекс» в инновационной инфраструктуре в сфере образования Хабаровского края,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реализации собственного проекта, прошедшего конкурс на присвоение  статуса «педагог-исследователь»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B2112A" w:rsidRPr="00E67DE5" w:rsidRDefault="00B2112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2112A" w:rsidRPr="00640207" w:rsidTr="00B2112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инновационной»</w:t>
            </w:r>
          </w:p>
          <w:p w:rsidR="00B2112A" w:rsidRPr="00640207" w:rsidRDefault="00B2112A" w:rsidP="00B2112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12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E6076B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E6076B" w:rsidRPr="00640207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6B" w:rsidRPr="00640207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копия свидетельства (уд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стоверения, сертификата) или решения о внесении педагогического опыта в банк данных соотве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ствующего уровня;</w:t>
            </w:r>
          </w:p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копии программ меропр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ятий по распространению педагогического опыта;</w:t>
            </w:r>
          </w:p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библиографические да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ные, копии публикаций;</w:t>
            </w:r>
          </w:p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копия документа о пров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дении мероприятий в с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стеме педагогического образования, переподг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товки и повышения кв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лификации, работе со студентами в период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дагогической практики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практических результатов профессиональной деятельности  (регулярно проводит мастер-классы, тренинги, стендовые защиты, выступает с докладами на семинарах, вебинарах, конференц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ях,  педагогических чтениях):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(не менее 3-х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 (не менее 2-х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краевого уровня (не менее 2-х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ции: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является руководителем педагогической практики студентов учреждений педаг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гического образования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является внештатным лектором  учреждения педагогического образования,  пер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подготовки и повышения квалификации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по проблемам образования и воспит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ния обучающихся, имеющих соответствующий гриф и выходные данные: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B2112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3.6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Непрерывность образования педагогического работника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E6076B" w:rsidRPr="00640207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E6076B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лем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E6076B" w:rsidRPr="00640207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076B" w:rsidRPr="00640207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удостоверения, свид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тельства, сертификаты, справки об окончании курсов, семинаров, в том числе в дистанционной форме, стажировок и др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гих форм образования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 дополнительным профессиональным образовательным программам по проф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лю преподаваемого предмета (направлению деятельности), включающим  общ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теоретический и предметно-технологический блоки, в объеме не менее 108 часов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самообразование, включая участие в профессиональных конференциях, круглых столах, </w:t>
            </w:r>
            <w:proofErr w:type="gramStart"/>
            <w:r w:rsidRPr="00640207">
              <w:rPr>
                <w:rFonts w:ascii="Times New Roman" w:hAnsi="Times New Roman"/>
                <w:sz w:val="24"/>
                <w:szCs w:val="24"/>
              </w:rPr>
              <w:t>Интернет-форумах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3.7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Признание профессиональным сообществом высокой квалификации педагогического работника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4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Участвует в деятельности аттестационных, экспертных комиссий, жюри, в суде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й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стве соревнований: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E6076B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лем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E6076B" w:rsidRPr="00640207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6076B" w:rsidRPr="00640207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E6076B" w:rsidRPr="00640207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приказов, справки о включении педагогич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работника в  соо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ветствующие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комиссии, жюри, судейский состав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уровня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(не менее 3-х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 (не менее 2-х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краевого уровня (не менее 2-х фактов)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3.8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«Награды и поощрения педагогического работника за личный вклад в повышение качества образования, успехи в профе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сиональной деятельности» </w:t>
            </w:r>
          </w:p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– 9 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Имеет в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период грамоты, поощрения, благодарственные пис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ь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ма по профилю работы: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документов, по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тверждающие награды и поощрения педагогич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работника</w:t>
            </w: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6076B" w:rsidRPr="00E67DE5" w:rsidRDefault="00E6076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6076B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граммно-методического сопровождения образовательного процесса, профессиональных конкурсах»</w:t>
            </w:r>
          </w:p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Максимальное количество баллов – 16</w:t>
            </w:r>
          </w:p>
        </w:tc>
      </w:tr>
      <w:tr w:rsidR="00E6076B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Методическая работа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E6076B" w:rsidRPr="00640207" w:rsidRDefault="00E6076B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6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лем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77684A" w:rsidRPr="00640207" w:rsidRDefault="0077684A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приказов, справки, планы/протоколы засед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методических  об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ъ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единений, советов;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приказов о назн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чении наставников, отз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молодых педагогов;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копии свидетельств, се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тификатов участника кл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у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ба, ассоциации;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электронные адреса (ссылки на страницы) или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ScreenShot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сетевого с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проявляет активность в работе методических советов, объединений, педагогич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ских советов образовательной организации</w:t>
            </w:r>
          </w:p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проявляет активность в работе методических советов, объединений муниципал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ь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ного уровня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ствах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Разрабатывает программно-методические материалы и документацию для обесп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чения образовательного процесса: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копии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плана (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программы)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воспитательной работы</w:t>
            </w: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proofErr w:type="gramStart"/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проду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к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тов педагогической де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я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тельности (не менее двух);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отзывы, рецензии, эк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пертные заключения на  продукты педагогической деятельности  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- учебно-программную документацию, типовые перечни учебного оборудования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локальные акты по методической работе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ские, дидактические материалы), прошедшие внешнюю экспертизу: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37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«Участие в профессиональных конкурсах»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Участвует в заочных/дистанционных конкурсах (по использованию ИКТ; иннов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ционных, методических  разработок; публикаций; педагогических инициатив) для педагогических работников: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 (при участии в одном конку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се)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или 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 (при участии в разных ко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курсах)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документов, по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тверждающих уч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стие/</w:t>
            </w:r>
            <w:proofErr w:type="spellStart"/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призёрство</w:t>
            </w:r>
            <w:proofErr w:type="spellEnd"/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/ победу в профессиональном ко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курсе</w:t>
            </w: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684A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7684A" w:rsidRPr="00640207" w:rsidRDefault="0077684A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77684A" w:rsidRPr="00E67DE5" w:rsidRDefault="0077684A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5 «Личностные и профессиональные качества педагогического работника» </w:t>
            </w:r>
          </w:p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- 10</w:t>
            </w:r>
          </w:p>
        </w:tc>
      </w:tr>
      <w:tr w:rsidR="00AF5F74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Профессиональная культура педагогического работника»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(по результатам диагностики)</w:t>
            </w:r>
          </w:p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8</w:t>
            </w: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дагогического работника, заверенный руководит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лем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ганизации.</w:t>
            </w:r>
          </w:p>
          <w:p w:rsidR="00AF5F74" w:rsidRPr="00640207" w:rsidRDefault="00AF5F74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результатов ди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гностики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зывы, письма благода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ности,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электронные адр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са (ссылки на страницы) или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ScreenShot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страниц с 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отзывами, письмами бл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годарности</w:t>
            </w:r>
          </w:p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членов педагогического коллектива организацией и содерж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нием методического сопровождения образовательного процесса, организуемого аттестуемым педагогом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70 %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менее 70 %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менее 90 %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5.2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64020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2</w:t>
            </w: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Участвует в деятельности органов государственно-общественного управления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разовательной организации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, местного самоуправления, общественных организ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Документ, подтвержда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щий членство в соотве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ствующей организации</w:t>
            </w: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AF5F74" w:rsidRPr="00E67DE5" w:rsidRDefault="00AF5F74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F5F74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 «Профессиональная компетентность педагогического работника в области информационной основы деятельности, п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становке и достижении педагогических задач при реализации образовательной программы на уроке (учебном занятии, воспит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тельном, методическом и других мероприятиях)»</w:t>
            </w:r>
          </w:p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AF5F74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тодики преподавания и содержания предмета (направления деятельности)»</w:t>
            </w:r>
          </w:p>
          <w:p w:rsidR="00AF5F74" w:rsidRPr="00640207" w:rsidRDefault="00AF5F74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Результаты квалификационного экзамена: (*удостоверение представляется педаг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гическим работником, прошедшим квалификационный экзамен до 30 мая 2014 г.)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удостоверение о результ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тах прохождения квал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фикационного экзамена</w:t>
            </w: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0468E1" w:rsidRDefault="000468E1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68E1"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0468E1" w:rsidRDefault="000468E1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68E1">
              <w:rPr>
                <w:rFonts w:ascii="Times New Roman" w:hAnsi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«Постановка и реализация педагогических и методических задач в работе с педагогами (на примере конспекта метод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ческого мероприятия обучающего характера»)</w:t>
            </w:r>
          </w:p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 xml:space="preserve">Педагог при подготовке к </w:t>
            </w:r>
            <w:r w:rsidRPr="00640207">
              <w:rPr>
                <w:rFonts w:ascii="Times New Roman" w:hAnsi="Times New Roman"/>
                <w:sz w:val="24"/>
                <w:szCs w:val="24"/>
              </w:rPr>
              <w:t>методическому мероприятию</w:t>
            </w:r>
            <w:r w:rsidRPr="00640207">
              <w:rPr>
                <w:rFonts w:ascii="Times New Roman" w:eastAsia="TimesNew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конспект методического мероприятия обучающего характера</w:t>
            </w: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ставит цели, направленные на ожидаемый и диагностируемый результат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представляет задачи как систему действий по достижению цели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планирует постановку педагогами цели их участия в мероприятии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использует методические приёмы вовлечения педагогов в участие в мероприятии,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ориентированные на коллективный поиск, обмен мнениями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заданий, видов работ,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направленных на м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тивирование педагогов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0468E1" w:rsidRPr="00E67DE5" w:rsidRDefault="000468E1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68E1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«</w:t>
            </w:r>
            <w:r w:rsidRPr="0064020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Компетентность педагогического работника </w:t>
            </w: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 реализации </w:t>
            </w: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методических задач в методическом мероприятии  (на примере видеозаписи методического мероприятия)»</w:t>
            </w:r>
          </w:p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–25</w:t>
            </w:r>
          </w:p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0468E1" w:rsidRPr="00640207" w:rsidRDefault="000468E1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 педагога в области постановки цели и задач 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методического мер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приятия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Видеозапись методич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ского мероприятия</w:t>
            </w:r>
          </w:p>
          <w:p w:rsidR="008C4586" w:rsidRPr="00640207" w:rsidRDefault="008C4586" w:rsidP="007522BA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цели возможностям, способностям, потребностям педагогов учр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цели на диагностируемый результат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методического мероприятия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реальность выполнения поставленной цели в течение одного мероприятия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представление задач как системы действий  по достижению цели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учёт принципа </w:t>
            </w:r>
            <w:proofErr w:type="spellStart"/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операциональности</w:t>
            </w:r>
            <w:proofErr w:type="spellEnd"/>
            <w:r w:rsidRPr="00640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 формулировании задач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мотивирования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организует постановку педагогами цели их участия в 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методическом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предлагает задания, способствующие актуализации имеющихся у педагогов зн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предлагает задания, способствующие актуализации личностного опыта  педагогов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использует различные задания, виды работы так, чтобы педагоги почувствовали свой успех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самооценивания</w:t>
            </w:r>
            <w:r w:rsidRPr="00640207">
              <w:rPr>
                <w:rFonts w:ascii="Times New Roman" w:eastAsiaTheme="minorHAnsi" w:hAnsi="Times New Roman"/>
                <w:sz w:val="24"/>
                <w:szCs w:val="24"/>
              </w:rPr>
              <w:t>во</w:t>
            </w:r>
            <w:r w:rsidRPr="00640207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640207">
              <w:rPr>
                <w:rFonts w:ascii="Times New Roman" w:eastAsiaTheme="minorHAnsi" w:hAnsi="Times New Roman"/>
                <w:sz w:val="24"/>
                <w:szCs w:val="24"/>
              </w:rPr>
              <w:t>питанником</w:t>
            </w:r>
            <w:proofErr w:type="spellEnd"/>
            <w:r w:rsidRPr="00640207">
              <w:rPr>
                <w:rFonts w:ascii="Times New Roman" w:eastAsiaTheme="minorHAnsi" w:hAnsi="Times New Roman"/>
                <w:sz w:val="24"/>
                <w:szCs w:val="24"/>
              </w:rPr>
              <w:t xml:space="preserve"> степени достижения цели его деятельности на занятии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содержании методической работы/направления де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>я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тельности (уровень владения материалом по направлению деятельности):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демонстрирует знание рассматриваемого на методическом мероприятии вопроса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раскрывает связь рассматриваемой темы с предыдущими и будущими темами  методических мероприятий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показывает связь рассматриваемой темы 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с другими актуальными вопросами де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я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тельности педагогов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ориентируется в различных печатных источниках информации 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(нормативно-правовых документах, научно-методической литературе, учебных и методических пособиях)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в качестве  источников информации</w:t>
            </w:r>
            <w:r w:rsidRPr="00640207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привлекает электронные образовательные,  человеческие ресурсы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методах в методах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методического мер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приятия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(уровень методической грамотности):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используемые методы обучения соответствуют поставленным целям и задачам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используемые методы обучения соответствуют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содержанию изучаемого матери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ла, условиям обучения и времени проведения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методического мероприятия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использует методические приёмы вовлечения педагогов в активное участие в м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тодическом мероприятии,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ориентированные на коллективный поиск, обмен мнен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0468E1">
        <w:trPr>
          <w:trHeight w:val="99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>владеет методиками интерактивного обучения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использует информационно-коммуникационные технологии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6.3.5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организации деятельности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организует деятельность педагогов на каждом из этапов методического меропр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ятия: вводном, основном, обобщающем и заключительном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методами организации индивидуальной и совместной деятельности пед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гогов, направленной на решение поставленных целей и задач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использует методы, побуждающие педагогов к активному обсуждению рассма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риваемых вопросов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взаимооценки</w:t>
            </w:r>
            <w:proofErr w:type="spellEnd"/>
            <w:r w:rsidRPr="00640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самооценки  педагогов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организует рефлексию педагогов относительно поставленной ими цели участия в мероприятии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8C4586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8C4586" w:rsidRPr="00640207" w:rsidRDefault="008C4586" w:rsidP="007522B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120</w:t>
            </w: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Награждение в </w:t>
            </w:r>
            <w:proofErr w:type="spellStart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 ведомственными (отраслевыми) нагр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дами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814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  <w:tc>
          <w:tcPr>
            <w:tcW w:w="2948" w:type="dxa"/>
            <w:vMerge w:val="restart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8C4586" w:rsidRPr="00640207" w:rsidRDefault="008C4586" w:rsidP="007522B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копии документов, по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тверждающие 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 xml:space="preserve"> сертиф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цированные достижения педагогического работн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Присвоение в </w:t>
            </w:r>
            <w:proofErr w:type="spellStart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 почетных званий Министерства образ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и науки Российской Федерации, Министерства культуры Российской Фед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рации, Министерства спорта Российской Федерации, Министерства здравоохран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4586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Награждение в </w:t>
            </w:r>
            <w:proofErr w:type="spellStart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межаттестационный</w:t>
            </w:r>
            <w:proofErr w:type="spellEnd"/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 государственными наградами Прав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40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Российской Федерации по профилю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C4586" w:rsidRPr="00640207" w:rsidRDefault="008C4586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8C4586" w:rsidRPr="00E67DE5" w:rsidRDefault="008C4586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E773B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E773B" w:rsidRDefault="00EE773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Хабаровского края», «Заслуженный работник здравоохранения  Хабаровского края», 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четный знак Правительства Хабаровского края «За заслуги» им. Н.Н. Муравьёва-Амурского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E773B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7.1.5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E773B" w:rsidRDefault="00EE773B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E773B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Награждение в </w:t>
            </w:r>
            <w:proofErr w:type="spellStart"/>
            <w:r w:rsidRPr="00640207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14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vMerge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E773B" w:rsidRPr="00640207" w:rsidTr="007522BA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7.2</w:t>
            </w:r>
          </w:p>
        </w:tc>
        <w:tc>
          <w:tcPr>
            <w:tcW w:w="14740" w:type="dxa"/>
            <w:gridSpan w:val="4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«Повышение квалификации в инновационных формах»</w:t>
            </w:r>
          </w:p>
          <w:p w:rsidR="00EE773B" w:rsidRPr="00640207" w:rsidRDefault="00EE773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Максимальное количество баллов – 80</w:t>
            </w:r>
          </w:p>
        </w:tc>
      </w:tr>
      <w:tr w:rsidR="00EE773B" w:rsidRPr="00640207" w:rsidTr="006670F3">
        <w:trPr>
          <w:trHeight w:val="116"/>
          <w:jc w:val="center"/>
        </w:trPr>
        <w:tc>
          <w:tcPr>
            <w:tcW w:w="703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844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40207">
              <w:rPr>
                <w:rFonts w:ascii="Times New Roman" w:hAnsi="Times New Roman"/>
                <w:sz w:val="24"/>
                <w:szCs w:val="24"/>
              </w:rPr>
              <w:t xml:space="preserve"> 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0207"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814" w:type="dxa"/>
            <w:tcMar>
              <w:top w:w="57" w:type="dxa"/>
              <w:bottom w:w="57" w:type="dxa"/>
            </w:tcMar>
          </w:tcPr>
          <w:p w:rsidR="00EE773B" w:rsidRPr="00E67DE5" w:rsidRDefault="00EE773B" w:rsidP="00640207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48" w:type="dxa"/>
            <w:tcMar>
              <w:top w:w="57" w:type="dxa"/>
              <w:bottom w:w="57" w:type="dxa"/>
            </w:tcMar>
          </w:tcPr>
          <w:p w:rsidR="00EE773B" w:rsidRPr="00640207" w:rsidRDefault="00EE773B" w:rsidP="007522BA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EE773B" w:rsidRPr="00640207" w:rsidRDefault="00EE773B" w:rsidP="007522BA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копия сертификата автора оригинального технол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207">
              <w:rPr>
                <w:rFonts w:ascii="Times New Roman" w:hAnsi="Times New Roman" w:cs="Times New Roman"/>
                <w:sz w:val="24"/>
                <w:szCs w:val="24"/>
              </w:rPr>
              <w:t>гического решения</w:t>
            </w:r>
          </w:p>
        </w:tc>
      </w:tr>
    </w:tbl>
    <w:p w:rsidR="00E67DE5" w:rsidRDefault="00E67DE5"/>
    <w:p w:rsidR="004572F2" w:rsidRDefault="004572F2" w:rsidP="00D452EA">
      <w:pPr>
        <w:spacing w:before="60" w:after="60" w:line="200" w:lineRule="exact"/>
      </w:pPr>
    </w:p>
    <w:sectPr w:rsidR="004572F2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E2CCC"/>
    <w:multiLevelType w:val="hybridMultilevel"/>
    <w:tmpl w:val="AE2C7010"/>
    <w:lvl w:ilvl="0" w:tplc="E780D0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29D7"/>
    <w:rsid w:val="000042D5"/>
    <w:rsid w:val="000046BF"/>
    <w:rsid w:val="00011DB4"/>
    <w:rsid w:val="00037B5B"/>
    <w:rsid w:val="000416D3"/>
    <w:rsid w:val="000425C2"/>
    <w:rsid w:val="00046673"/>
    <w:rsid w:val="000468E1"/>
    <w:rsid w:val="000553B7"/>
    <w:rsid w:val="0005594C"/>
    <w:rsid w:val="00065B43"/>
    <w:rsid w:val="0007488A"/>
    <w:rsid w:val="000806E0"/>
    <w:rsid w:val="00081983"/>
    <w:rsid w:val="00084AF2"/>
    <w:rsid w:val="00093059"/>
    <w:rsid w:val="00094488"/>
    <w:rsid w:val="0009461B"/>
    <w:rsid w:val="000D0219"/>
    <w:rsid w:val="000D0412"/>
    <w:rsid w:val="000D0910"/>
    <w:rsid w:val="000D386F"/>
    <w:rsid w:val="000D75FF"/>
    <w:rsid w:val="000E0430"/>
    <w:rsid w:val="000E1F04"/>
    <w:rsid w:val="000E6183"/>
    <w:rsid w:val="000E6EA7"/>
    <w:rsid w:val="001065AF"/>
    <w:rsid w:val="001129DB"/>
    <w:rsid w:val="00113723"/>
    <w:rsid w:val="001140F1"/>
    <w:rsid w:val="00114639"/>
    <w:rsid w:val="00122E69"/>
    <w:rsid w:val="001233F3"/>
    <w:rsid w:val="001257D6"/>
    <w:rsid w:val="001438C3"/>
    <w:rsid w:val="00143CD5"/>
    <w:rsid w:val="00144CFC"/>
    <w:rsid w:val="00145E54"/>
    <w:rsid w:val="00155C18"/>
    <w:rsid w:val="00164CBA"/>
    <w:rsid w:val="00165991"/>
    <w:rsid w:val="00166E5E"/>
    <w:rsid w:val="00173EBA"/>
    <w:rsid w:val="00174035"/>
    <w:rsid w:val="00185F68"/>
    <w:rsid w:val="001878DA"/>
    <w:rsid w:val="001958B6"/>
    <w:rsid w:val="001A1448"/>
    <w:rsid w:val="001A5695"/>
    <w:rsid w:val="001A787E"/>
    <w:rsid w:val="001C555A"/>
    <w:rsid w:val="001C6985"/>
    <w:rsid w:val="001D0293"/>
    <w:rsid w:val="001D5202"/>
    <w:rsid w:val="001D6B4C"/>
    <w:rsid w:val="001E1DFE"/>
    <w:rsid w:val="001E1F91"/>
    <w:rsid w:val="001E41DA"/>
    <w:rsid w:val="001E4C5D"/>
    <w:rsid w:val="001F2F19"/>
    <w:rsid w:val="001F5F2F"/>
    <w:rsid w:val="001F6301"/>
    <w:rsid w:val="00203A05"/>
    <w:rsid w:val="002079A8"/>
    <w:rsid w:val="00211E6B"/>
    <w:rsid w:val="0021283A"/>
    <w:rsid w:val="00215307"/>
    <w:rsid w:val="00217C9C"/>
    <w:rsid w:val="00222092"/>
    <w:rsid w:val="00224460"/>
    <w:rsid w:val="0022562A"/>
    <w:rsid w:val="00230FE6"/>
    <w:rsid w:val="002330E9"/>
    <w:rsid w:val="002340E6"/>
    <w:rsid w:val="002342DC"/>
    <w:rsid w:val="00241761"/>
    <w:rsid w:val="00246D05"/>
    <w:rsid w:val="00247BD9"/>
    <w:rsid w:val="00252300"/>
    <w:rsid w:val="002620A2"/>
    <w:rsid w:val="002629D0"/>
    <w:rsid w:val="00265C4D"/>
    <w:rsid w:val="002737C2"/>
    <w:rsid w:val="0028057C"/>
    <w:rsid w:val="00280E85"/>
    <w:rsid w:val="0028687C"/>
    <w:rsid w:val="0029041A"/>
    <w:rsid w:val="00294E5E"/>
    <w:rsid w:val="00295647"/>
    <w:rsid w:val="002A1993"/>
    <w:rsid w:val="002A2E2E"/>
    <w:rsid w:val="002B5F23"/>
    <w:rsid w:val="002B62C1"/>
    <w:rsid w:val="002C5419"/>
    <w:rsid w:val="002C59B2"/>
    <w:rsid w:val="002D0D9F"/>
    <w:rsid w:val="002D1156"/>
    <w:rsid w:val="002E62A1"/>
    <w:rsid w:val="002E68B8"/>
    <w:rsid w:val="002E77AD"/>
    <w:rsid w:val="002F2384"/>
    <w:rsid w:val="002F646B"/>
    <w:rsid w:val="002F6D19"/>
    <w:rsid w:val="003006A7"/>
    <w:rsid w:val="00301F55"/>
    <w:rsid w:val="00302920"/>
    <w:rsid w:val="00304A0A"/>
    <w:rsid w:val="003123AA"/>
    <w:rsid w:val="00313E36"/>
    <w:rsid w:val="00321B6E"/>
    <w:rsid w:val="0032286D"/>
    <w:rsid w:val="003316C6"/>
    <w:rsid w:val="0033533A"/>
    <w:rsid w:val="00337964"/>
    <w:rsid w:val="00341AF2"/>
    <w:rsid w:val="00354A16"/>
    <w:rsid w:val="00360872"/>
    <w:rsid w:val="00360A45"/>
    <w:rsid w:val="00363821"/>
    <w:rsid w:val="00363D39"/>
    <w:rsid w:val="0037795E"/>
    <w:rsid w:val="00380313"/>
    <w:rsid w:val="003821E3"/>
    <w:rsid w:val="00391C62"/>
    <w:rsid w:val="00396860"/>
    <w:rsid w:val="003A13C1"/>
    <w:rsid w:val="003B18D3"/>
    <w:rsid w:val="003B6764"/>
    <w:rsid w:val="003C2121"/>
    <w:rsid w:val="003E0DDF"/>
    <w:rsid w:val="003E1919"/>
    <w:rsid w:val="003E3792"/>
    <w:rsid w:val="003E7FE7"/>
    <w:rsid w:val="003F0CA3"/>
    <w:rsid w:val="00400037"/>
    <w:rsid w:val="00401D81"/>
    <w:rsid w:val="00403375"/>
    <w:rsid w:val="00403556"/>
    <w:rsid w:val="004131DF"/>
    <w:rsid w:val="00414E81"/>
    <w:rsid w:val="00415B12"/>
    <w:rsid w:val="004318FA"/>
    <w:rsid w:val="00435591"/>
    <w:rsid w:val="00450B7B"/>
    <w:rsid w:val="004572F2"/>
    <w:rsid w:val="00464544"/>
    <w:rsid w:val="00467044"/>
    <w:rsid w:val="00474015"/>
    <w:rsid w:val="0048090B"/>
    <w:rsid w:val="004973D9"/>
    <w:rsid w:val="004A2AF6"/>
    <w:rsid w:val="004A6CEE"/>
    <w:rsid w:val="004B4DAB"/>
    <w:rsid w:val="004C40F3"/>
    <w:rsid w:val="004D32C4"/>
    <w:rsid w:val="004D3CFA"/>
    <w:rsid w:val="004D46CC"/>
    <w:rsid w:val="004D5B5F"/>
    <w:rsid w:val="004D6B1F"/>
    <w:rsid w:val="00501410"/>
    <w:rsid w:val="00501DA9"/>
    <w:rsid w:val="00513555"/>
    <w:rsid w:val="00513BCB"/>
    <w:rsid w:val="00515624"/>
    <w:rsid w:val="00520C1E"/>
    <w:rsid w:val="005252B9"/>
    <w:rsid w:val="00526BAE"/>
    <w:rsid w:val="00527B51"/>
    <w:rsid w:val="00536621"/>
    <w:rsid w:val="005414E0"/>
    <w:rsid w:val="00555E6F"/>
    <w:rsid w:val="00560482"/>
    <w:rsid w:val="00563630"/>
    <w:rsid w:val="00567FB3"/>
    <w:rsid w:val="00570687"/>
    <w:rsid w:val="00570958"/>
    <w:rsid w:val="005714B6"/>
    <w:rsid w:val="0057155D"/>
    <w:rsid w:val="00572462"/>
    <w:rsid w:val="00581FC1"/>
    <w:rsid w:val="005821E9"/>
    <w:rsid w:val="0058415D"/>
    <w:rsid w:val="00584280"/>
    <w:rsid w:val="00584E11"/>
    <w:rsid w:val="00584E82"/>
    <w:rsid w:val="005855B5"/>
    <w:rsid w:val="00586727"/>
    <w:rsid w:val="00596114"/>
    <w:rsid w:val="005A1139"/>
    <w:rsid w:val="005A6AF0"/>
    <w:rsid w:val="005B0251"/>
    <w:rsid w:val="005B1EE8"/>
    <w:rsid w:val="005B5EFB"/>
    <w:rsid w:val="005C51FB"/>
    <w:rsid w:val="005C609A"/>
    <w:rsid w:val="005E17AC"/>
    <w:rsid w:val="005E1D38"/>
    <w:rsid w:val="005E33FA"/>
    <w:rsid w:val="005F4D1C"/>
    <w:rsid w:val="00603F26"/>
    <w:rsid w:val="00610214"/>
    <w:rsid w:val="00610D76"/>
    <w:rsid w:val="00611DE0"/>
    <w:rsid w:val="00613F0D"/>
    <w:rsid w:val="006246BE"/>
    <w:rsid w:val="00624AA0"/>
    <w:rsid w:val="00624B67"/>
    <w:rsid w:val="00627916"/>
    <w:rsid w:val="00630F4B"/>
    <w:rsid w:val="00632DC7"/>
    <w:rsid w:val="00633C7F"/>
    <w:rsid w:val="00636FAF"/>
    <w:rsid w:val="00640207"/>
    <w:rsid w:val="00646AD3"/>
    <w:rsid w:val="00651B00"/>
    <w:rsid w:val="00651EB2"/>
    <w:rsid w:val="0065548C"/>
    <w:rsid w:val="00657ABA"/>
    <w:rsid w:val="00664C7F"/>
    <w:rsid w:val="006670F3"/>
    <w:rsid w:val="00676701"/>
    <w:rsid w:val="00683E62"/>
    <w:rsid w:val="00690F46"/>
    <w:rsid w:val="00697895"/>
    <w:rsid w:val="006978A0"/>
    <w:rsid w:val="006A01A3"/>
    <w:rsid w:val="006A09AB"/>
    <w:rsid w:val="006A1A7E"/>
    <w:rsid w:val="006A2131"/>
    <w:rsid w:val="006A3FA3"/>
    <w:rsid w:val="006A73D4"/>
    <w:rsid w:val="006B4155"/>
    <w:rsid w:val="006B50F1"/>
    <w:rsid w:val="006C21D3"/>
    <w:rsid w:val="006C6112"/>
    <w:rsid w:val="006C64A5"/>
    <w:rsid w:val="006D1BD1"/>
    <w:rsid w:val="006D76AB"/>
    <w:rsid w:val="006E1B36"/>
    <w:rsid w:val="006E2040"/>
    <w:rsid w:val="006E5D29"/>
    <w:rsid w:val="006F0B57"/>
    <w:rsid w:val="006F1655"/>
    <w:rsid w:val="006F2E57"/>
    <w:rsid w:val="007014B9"/>
    <w:rsid w:val="007139E1"/>
    <w:rsid w:val="00713CA2"/>
    <w:rsid w:val="00714884"/>
    <w:rsid w:val="007162D0"/>
    <w:rsid w:val="00717440"/>
    <w:rsid w:val="00730CD0"/>
    <w:rsid w:val="0073580D"/>
    <w:rsid w:val="00735AC4"/>
    <w:rsid w:val="00737039"/>
    <w:rsid w:val="007400EF"/>
    <w:rsid w:val="00740950"/>
    <w:rsid w:val="0074737E"/>
    <w:rsid w:val="007522BA"/>
    <w:rsid w:val="0075260D"/>
    <w:rsid w:val="00755891"/>
    <w:rsid w:val="00762333"/>
    <w:rsid w:val="00762F90"/>
    <w:rsid w:val="0076463A"/>
    <w:rsid w:val="00765046"/>
    <w:rsid w:val="007655AC"/>
    <w:rsid w:val="0077624C"/>
    <w:rsid w:val="0077684A"/>
    <w:rsid w:val="007815FD"/>
    <w:rsid w:val="0078190E"/>
    <w:rsid w:val="00784F6D"/>
    <w:rsid w:val="007901F5"/>
    <w:rsid w:val="007941D0"/>
    <w:rsid w:val="00795367"/>
    <w:rsid w:val="0079762A"/>
    <w:rsid w:val="007A1DC3"/>
    <w:rsid w:val="007A4E41"/>
    <w:rsid w:val="007B62A4"/>
    <w:rsid w:val="007C07BE"/>
    <w:rsid w:val="007E2AA5"/>
    <w:rsid w:val="007E330A"/>
    <w:rsid w:val="007E3B11"/>
    <w:rsid w:val="007F2AEB"/>
    <w:rsid w:val="0080294E"/>
    <w:rsid w:val="008071DB"/>
    <w:rsid w:val="00810F45"/>
    <w:rsid w:val="008155D7"/>
    <w:rsid w:val="0081792A"/>
    <w:rsid w:val="00817C9C"/>
    <w:rsid w:val="008261DE"/>
    <w:rsid w:val="008265E0"/>
    <w:rsid w:val="0082712F"/>
    <w:rsid w:val="0083316E"/>
    <w:rsid w:val="00836265"/>
    <w:rsid w:val="00841A6F"/>
    <w:rsid w:val="008424BE"/>
    <w:rsid w:val="00846D4B"/>
    <w:rsid w:val="0085040C"/>
    <w:rsid w:val="00850D22"/>
    <w:rsid w:val="00853769"/>
    <w:rsid w:val="00856BF5"/>
    <w:rsid w:val="00872E8B"/>
    <w:rsid w:val="00874A0E"/>
    <w:rsid w:val="00876CDE"/>
    <w:rsid w:val="00876D5F"/>
    <w:rsid w:val="0087784A"/>
    <w:rsid w:val="00877BA0"/>
    <w:rsid w:val="00881E5F"/>
    <w:rsid w:val="008A1B08"/>
    <w:rsid w:val="008A704F"/>
    <w:rsid w:val="008B3AFB"/>
    <w:rsid w:val="008B4E4E"/>
    <w:rsid w:val="008B54D2"/>
    <w:rsid w:val="008B5BDB"/>
    <w:rsid w:val="008B5D6F"/>
    <w:rsid w:val="008C0922"/>
    <w:rsid w:val="008C4586"/>
    <w:rsid w:val="008D29D7"/>
    <w:rsid w:val="008D6DD0"/>
    <w:rsid w:val="008D77F3"/>
    <w:rsid w:val="008E346E"/>
    <w:rsid w:val="008E5EF1"/>
    <w:rsid w:val="008E7D90"/>
    <w:rsid w:val="008F4ECD"/>
    <w:rsid w:val="00900F22"/>
    <w:rsid w:val="009023DF"/>
    <w:rsid w:val="0090333B"/>
    <w:rsid w:val="009039AF"/>
    <w:rsid w:val="0090559C"/>
    <w:rsid w:val="00907809"/>
    <w:rsid w:val="00912567"/>
    <w:rsid w:val="00920AF5"/>
    <w:rsid w:val="00922B93"/>
    <w:rsid w:val="00926769"/>
    <w:rsid w:val="00926B67"/>
    <w:rsid w:val="00930662"/>
    <w:rsid w:val="0093370C"/>
    <w:rsid w:val="009422D6"/>
    <w:rsid w:val="00946462"/>
    <w:rsid w:val="00952CF8"/>
    <w:rsid w:val="00953E90"/>
    <w:rsid w:val="0095485D"/>
    <w:rsid w:val="00954F58"/>
    <w:rsid w:val="0095622C"/>
    <w:rsid w:val="0096422D"/>
    <w:rsid w:val="00981D53"/>
    <w:rsid w:val="00982007"/>
    <w:rsid w:val="009863CC"/>
    <w:rsid w:val="00987DC6"/>
    <w:rsid w:val="009A3C43"/>
    <w:rsid w:val="009B1401"/>
    <w:rsid w:val="009B5984"/>
    <w:rsid w:val="009B754B"/>
    <w:rsid w:val="009C64F3"/>
    <w:rsid w:val="009C7735"/>
    <w:rsid w:val="009D15D4"/>
    <w:rsid w:val="009D2C25"/>
    <w:rsid w:val="009D4446"/>
    <w:rsid w:val="009D519F"/>
    <w:rsid w:val="009D5B8C"/>
    <w:rsid w:val="009E0518"/>
    <w:rsid w:val="009E0F75"/>
    <w:rsid w:val="009E54C4"/>
    <w:rsid w:val="009F3706"/>
    <w:rsid w:val="009F6674"/>
    <w:rsid w:val="00A128D5"/>
    <w:rsid w:val="00A1387A"/>
    <w:rsid w:val="00A15EFD"/>
    <w:rsid w:val="00A302A4"/>
    <w:rsid w:val="00A37520"/>
    <w:rsid w:val="00A403EB"/>
    <w:rsid w:val="00A411DA"/>
    <w:rsid w:val="00A42479"/>
    <w:rsid w:val="00A4452C"/>
    <w:rsid w:val="00A45095"/>
    <w:rsid w:val="00A654E8"/>
    <w:rsid w:val="00A65659"/>
    <w:rsid w:val="00A70516"/>
    <w:rsid w:val="00A73B95"/>
    <w:rsid w:val="00A7413B"/>
    <w:rsid w:val="00A742BC"/>
    <w:rsid w:val="00A81E7D"/>
    <w:rsid w:val="00A82E2E"/>
    <w:rsid w:val="00A842C1"/>
    <w:rsid w:val="00A86657"/>
    <w:rsid w:val="00A92607"/>
    <w:rsid w:val="00A95CDC"/>
    <w:rsid w:val="00A96E50"/>
    <w:rsid w:val="00AA01D2"/>
    <w:rsid w:val="00AA48B6"/>
    <w:rsid w:val="00AA552C"/>
    <w:rsid w:val="00AA60AF"/>
    <w:rsid w:val="00AB0107"/>
    <w:rsid w:val="00AB2800"/>
    <w:rsid w:val="00AB2907"/>
    <w:rsid w:val="00AB29CA"/>
    <w:rsid w:val="00AB5582"/>
    <w:rsid w:val="00AC32BD"/>
    <w:rsid w:val="00AC4626"/>
    <w:rsid w:val="00AC767D"/>
    <w:rsid w:val="00AC7871"/>
    <w:rsid w:val="00AD4A45"/>
    <w:rsid w:val="00AD738B"/>
    <w:rsid w:val="00AD7FA4"/>
    <w:rsid w:val="00AE06FC"/>
    <w:rsid w:val="00AF1422"/>
    <w:rsid w:val="00AF5F74"/>
    <w:rsid w:val="00AF6C9F"/>
    <w:rsid w:val="00B046DF"/>
    <w:rsid w:val="00B0634B"/>
    <w:rsid w:val="00B113FA"/>
    <w:rsid w:val="00B15474"/>
    <w:rsid w:val="00B17D3D"/>
    <w:rsid w:val="00B2112A"/>
    <w:rsid w:val="00B220D1"/>
    <w:rsid w:val="00B23433"/>
    <w:rsid w:val="00B249B6"/>
    <w:rsid w:val="00B24B93"/>
    <w:rsid w:val="00B315BF"/>
    <w:rsid w:val="00B3729E"/>
    <w:rsid w:val="00B376EF"/>
    <w:rsid w:val="00B424D4"/>
    <w:rsid w:val="00B42F00"/>
    <w:rsid w:val="00B442BB"/>
    <w:rsid w:val="00B515EB"/>
    <w:rsid w:val="00B52C07"/>
    <w:rsid w:val="00B54D7B"/>
    <w:rsid w:val="00B57664"/>
    <w:rsid w:val="00B73481"/>
    <w:rsid w:val="00B764E0"/>
    <w:rsid w:val="00B81679"/>
    <w:rsid w:val="00B82280"/>
    <w:rsid w:val="00B8449C"/>
    <w:rsid w:val="00B91A24"/>
    <w:rsid w:val="00B944A8"/>
    <w:rsid w:val="00B9643D"/>
    <w:rsid w:val="00B96834"/>
    <w:rsid w:val="00BA252B"/>
    <w:rsid w:val="00BA36F5"/>
    <w:rsid w:val="00BB02D9"/>
    <w:rsid w:val="00BB6054"/>
    <w:rsid w:val="00BB60F5"/>
    <w:rsid w:val="00BB7BF4"/>
    <w:rsid w:val="00BC0CAE"/>
    <w:rsid w:val="00BE179E"/>
    <w:rsid w:val="00BF1A47"/>
    <w:rsid w:val="00BF3C2B"/>
    <w:rsid w:val="00BF6BC5"/>
    <w:rsid w:val="00BF73EE"/>
    <w:rsid w:val="00BF7654"/>
    <w:rsid w:val="00C0672F"/>
    <w:rsid w:val="00C17395"/>
    <w:rsid w:val="00C237AF"/>
    <w:rsid w:val="00C43DE2"/>
    <w:rsid w:val="00C46F95"/>
    <w:rsid w:val="00C52A38"/>
    <w:rsid w:val="00C5427F"/>
    <w:rsid w:val="00C63779"/>
    <w:rsid w:val="00C706D8"/>
    <w:rsid w:val="00C712D2"/>
    <w:rsid w:val="00C85FAF"/>
    <w:rsid w:val="00C9030D"/>
    <w:rsid w:val="00CA54D0"/>
    <w:rsid w:val="00CA5617"/>
    <w:rsid w:val="00CA5C22"/>
    <w:rsid w:val="00CA5D8F"/>
    <w:rsid w:val="00CB7970"/>
    <w:rsid w:val="00CE005C"/>
    <w:rsid w:val="00CE3573"/>
    <w:rsid w:val="00CF0ED9"/>
    <w:rsid w:val="00CF52BC"/>
    <w:rsid w:val="00D00A7E"/>
    <w:rsid w:val="00D00A89"/>
    <w:rsid w:val="00D01164"/>
    <w:rsid w:val="00D0197B"/>
    <w:rsid w:val="00D04168"/>
    <w:rsid w:val="00D043BD"/>
    <w:rsid w:val="00D10096"/>
    <w:rsid w:val="00D1259D"/>
    <w:rsid w:val="00D1507A"/>
    <w:rsid w:val="00D16AE0"/>
    <w:rsid w:val="00D30FA4"/>
    <w:rsid w:val="00D3252E"/>
    <w:rsid w:val="00D33BFE"/>
    <w:rsid w:val="00D357C9"/>
    <w:rsid w:val="00D37B0C"/>
    <w:rsid w:val="00D452EA"/>
    <w:rsid w:val="00D47411"/>
    <w:rsid w:val="00D5115D"/>
    <w:rsid w:val="00D543DC"/>
    <w:rsid w:val="00D55002"/>
    <w:rsid w:val="00D61420"/>
    <w:rsid w:val="00D614B5"/>
    <w:rsid w:val="00D62367"/>
    <w:rsid w:val="00D6320C"/>
    <w:rsid w:val="00D63C72"/>
    <w:rsid w:val="00D6642D"/>
    <w:rsid w:val="00D736FC"/>
    <w:rsid w:val="00D754DB"/>
    <w:rsid w:val="00D90F7A"/>
    <w:rsid w:val="00D934E3"/>
    <w:rsid w:val="00D96A20"/>
    <w:rsid w:val="00DA190D"/>
    <w:rsid w:val="00DB2654"/>
    <w:rsid w:val="00DB545B"/>
    <w:rsid w:val="00DB5A7D"/>
    <w:rsid w:val="00DB5B4C"/>
    <w:rsid w:val="00DB6E59"/>
    <w:rsid w:val="00DB75DF"/>
    <w:rsid w:val="00DC4E9C"/>
    <w:rsid w:val="00DC79EC"/>
    <w:rsid w:val="00DC7C5B"/>
    <w:rsid w:val="00DD364F"/>
    <w:rsid w:val="00DD54D3"/>
    <w:rsid w:val="00DE5632"/>
    <w:rsid w:val="00DE6A0B"/>
    <w:rsid w:val="00DE7D8A"/>
    <w:rsid w:val="00DF065C"/>
    <w:rsid w:val="00DF10D2"/>
    <w:rsid w:val="00DF4489"/>
    <w:rsid w:val="00DF735F"/>
    <w:rsid w:val="00DF763F"/>
    <w:rsid w:val="00E009E3"/>
    <w:rsid w:val="00E042C4"/>
    <w:rsid w:val="00E122C6"/>
    <w:rsid w:val="00E156CA"/>
    <w:rsid w:val="00E210A9"/>
    <w:rsid w:val="00E3160B"/>
    <w:rsid w:val="00E31862"/>
    <w:rsid w:val="00E32191"/>
    <w:rsid w:val="00E33BBC"/>
    <w:rsid w:val="00E366F8"/>
    <w:rsid w:val="00E4044E"/>
    <w:rsid w:val="00E4612D"/>
    <w:rsid w:val="00E464F0"/>
    <w:rsid w:val="00E5372E"/>
    <w:rsid w:val="00E53803"/>
    <w:rsid w:val="00E6076B"/>
    <w:rsid w:val="00E62329"/>
    <w:rsid w:val="00E67DE5"/>
    <w:rsid w:val="00E742BC"/>
    <w:rsid w:val="00E7529C"/>
    <w:rsid w:val="00E80E06"/>
    <w:rsid w:val="00E8487D"/>
    <w:rsid w:val="00E853FE"/>
    <w:rsid w:val="00E85DDE"/>
    <w:rsid w:val="00E91D96"/>
    <w:rsid w:val="00E926F9"/>
    <w:rsid w:val="00E95AF3"/>
    <w:rsid w:val="00E96609"/>
    <w:rsid w:val="00EB07DF"/>
    <w:rsid w:val="00EB27E2"/>
    <w:rsid w:val="00EB2845"/>
    <w:rsid w:val="00EB5643"/>
    <w:rsid w:val="00EC5520"/>
    <w:rsid w:val="00ED5EB7"/>
    <w:rsid w:val="00ED7B62"/>
    <w:rsid w:val="00EE773B"/>
    <w:rsid w:val="00EF19AA"/>
    <w:rsid w:val="00F029E2"/>
    <w:rsid w:val="00F104D7"/>
    <w:rsid w:val="00F15A22"/>
    <w:rsid w:val="00F216D8"/>
    <w:rsid w:val="00F221DC"/>
    <w:rsid w:val="00F24D66"/>
    <w:rsid w:val="00F25025"/>
    <w:rsid w:val="00F34136"/>
    <w:rsid w:val="00F37158"/>
    <w:rsid w:val="00F416D6"/>
    <w:rsid w:val="00F44DC2"/>
    <w:rsid w:val="00F52767"/>
    <w:rsid w:val="00F632FA"/>
    <w:rsid w:val="00F63EA9"/>
    <w:rsid w:val="00F730BE"/>
    <w:rsid w:val="00F81E13"/>
    <w:rsid w:val="00F84049"/>
    <w:rsid w:val="00F9050D"/>
    <w:rsid w:val="00F9309D"/>
    <w:rsid w:val="00FB23D1"/>
    <w:rsid w:val="00FB2C6B"/>
    <w:rsid w:val="00FB3159"/>
    <w:rsid w:val="00FC24F1"/>
    <w:rsid w:val="00FC44AA"/>
    <w:rsid w:val="00FC50E2"/>
    <w:rsid w:val="00FC68C6"/>
    <w:rsid w:val="00FC7740"/>
    <w:rsid w:val="00FC7C44"/>
    <w:rsid w:val="00FD34AF"/>
    <w:rsid w:val="00FE15BC"/>
    <w:rsid w:val="00FE3096"/>
    <w:rsid w:val="00FE4487"/>
    <w:rsid w:val="00FE44D7"/>
    <w:rsid w:val="00FF1024"/>
    <w:rsid w:val="00FF2470"/>
    <w:rsid w:val="00FF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0C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7DA7-8E64-477A-B827-CD623088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1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117_БОСС</cp:lastModifiedBy>
  <cp:revision>4</cp:revision>
  <cp:lastPrinted>2014-08-07T06:42:00Z</cp:lastPrinted>
  <dcterms:created xsi:type="dcterms:W3CDTF">2018-01-16T00:21:00Z</dcterms:created>
  <dcterms:modified xsi:type="dcterms:W3CDTF">2022-01-24T06:04:00Z</dcterms:modified>
</cp:coreProperties>
</file>